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color w:val="616161"/>
          <w:sz w:val="36"/>
          <w:szCs w:val="36"/>
        </w:rPr>
      </w:pPr>
      <w:r>
        <w:rPr>
          <w:rFonts w:ascii="Trebuchet MS" w:hAnsi="Trebuchet MS"/>
          <w:b w:val="1"/>
          <w:bCs w:val="1"/>
          <w:color w:val="616161"/>
          <w:sz w:val="36"/>
          <w:szCs w:val="36"/>
          <w:rtl w:val="0"/>
          <w:lang w:val="en-US"/>
        </w:rPr>
        <w:t xml:space="preserve">Dragons </w:t>
      </w:r>
      <w:r>
        <w:rPr>
          <w:rFonts w:ascii="Trebuchet MS" w:hAnsi="Trebuchet MS"/>
          <w:b w:val="1"/>
          <w:bCs w:val="1"/>
          <w:color w:val="616161"/>
          <w:sz w:val="36"/>
          <w:szCs w:val="36"/>
          <w:rtl w:val="0"/>
          <w:lang w:val="en-US"/>
        </w:rPr>
        <w:t xml:space="preserve">Official </w:t>
      </w:r>
      <w:r>
        <w:rPr>
          <w:rFonts w:ascii="Trebuchet MS" w:hAnsi="Trebuchet MS"/>
          <w:b w:val="1"/>
          <w:bCs w:val="1"/>
          <w:color w:val="616161"/>
          <w:sz w:val="36"/>
          <w:szCs w:val="36"/>
          <w:rtl w:val="0"/>
          <w:lang w:val="en-US"/>
        </w:rPr>
        <w:t>Supporters</w:t>
      </w:r>
      <w:r>
        <w:rPr>
          <w:rFonts w:ascii="Trebuchet MS" w:hAnsi="Trebuchet MS" w:hint="default"/>
          <w:b w:val="1"/>
          <w:bCs w:val="1"/>
          <w:color w:val="616161"/>
          <w:sz w:val="36"/>
          <w:szCs w:val="36"/>
          <w:rtl w:val="0"/>
          <w:lang w:val="en-US"/>
        </w:rPr>
        <w:t xml:space="preserve">’ </w:t>
      </w:r>
      <w:r>
        <w:rPr>
          <w:rFonts w:ascii="Trebuchet MS" w:hAnsi="Trebuchet MS"/>
          <w:b w:val="1"/>
          <w:bCs w:val="1"/>
          <w:color w:val="616161"/>
          <w:sz w:val="36"/>
          <w:szCs w:val="36"/>
          <w:rtl w:val="0"/>
          <w:lang w:val="en-US"/>
        </w:rPr>
        <w:t>Club</w:t>
      </w: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color w:val="616161"/>
          <w:sz w:val="36"/>
          <w:szCs w:val="36"/>
        </w:rPr>
      </w:pPr>
    </w:p>
    <w:p>
      <w:pPr>
        <w:pStyle w:val="Body A"/>
        <w:jc w:val="center"/>
        <w:rPr>
          <w:rFonts w:ascii="Trebuchet MS" w:cs="Trebuchet MS" w:hAnsi="Trebuchet MS" w:eastAsia="Trebuchet MS"/>
          <w:b w:val="1"/>
          <w:bCs w:val="1"/>
          <w:color w:val="616161"/>
          <w:sz w:val="36"/>
          <w:szCs w:val="36"/>
        </w:rPr>
      </w:pPr>
      <w:r>
        <w:rPr>
          <w:rFonts w:ascii="Trebuchet MS" w:hAnsi="Trebuchet MS"/>
          <w:b w:val="1"/>
          <w:bCs w:val="1"/>
          <w:color w:val="616161"/>
          <w:sz w:val="36"/>
          <w:szCs w:val="36"/>
          <w:rtl w:val="0"/>
          <w:lang w:val="en-US"/>
        </w:rPr>
        <w:t>Terms of Reference - Deputy Chairman</w:t>
      </w:r>
    </w:p>
    <w:p>
      <w:pPr>
        <w:pStyle w:val="Body A"/>
      </w:pPr>
    </w:p>
    <w:p>
      <w:pPr>
        <w:pStyle w:val="Default"/>
        <w:rPr>
          <w:rFonts w:ascii="Trebuchet MS" w:cs="Trebuchet MS" w:hAnsi="Trebuchet MS" w:eastAsia="Trebuchet MS"/>
          <w:color w:val="cccccc"/>
          <w:sz w:val="32"/>
          <w:szCs w:val="32"/>
          <w:u w:color="cccccc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rebuchet MS" w:cs="Trebuchet MS" w:hAnsi="Trebuchet MS" w:eastAsia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</w:pP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Appointment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1.1 - The Deputy Chairman (Dep Chair) shall be initially appointed by the Dragons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Official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Supporters Club Committee, hereinafter referred to as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de-DE"/>
        </w:rPr>
        <w:t>SC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, and reviewed for re-election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SC Constitution.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2.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General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2.1 - 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he Dep Chair position shall be duly elected as per the requirements of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Constitution, and will remain responsible for ensuring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SC carries out its responsibilities effectively, independently of the Newport Gwent Dragons (NGD) senior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fr-FR"/>
        </w:rPr>
        <w:t>management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team and in the long term best interests of the Supporters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2.2 - The Dep Chair will assist the Chair with liaison between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and the NGD senior management team, assisting with the provision of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it-IT"/>
        </w:rPr>
        <w:t xml:space="preserve"> represent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ation and spokesperson duties for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Duties</w:t>
      </w: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The Dep Chair Shall: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3.1 -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Lead and facilitate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Committee, in absence of the Chair, to ensure it delivers agains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 and the requirements of the NGD Supporters.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3.2 -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In absence of the Chair, schedule regular meetings of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3.3 - In absence of the Chair, schedule regular engagement events with the NGD Supporters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.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3.4 - Ensure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Members are cognisant of their responsibilities, and ensure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output remain aligned to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objectives, and in accordance with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3.5 - Assist the Chair with the facilitation of regular communications of the findings, recommendations and observations of the 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  <w:lang w:val="en-US"/>
        </w:rPr>
      </w:pP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and the wider supporter base to the NGD senior management team.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3.6 - Ensure, where necessary,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representation is made available to the NGD senior management team to attend any required engagement activities.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3.7 - In absence of the Chair, sit as Chair on all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Meetings, engaging with the Secretary to define a pre-meeting Agenda, and any pre-briefing meeting requirements.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3.8 - In absence of the Chair, manage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Meetings in an effective and efficient manner, ensuring all Committee Members are delivering on their obligations and responsibilities.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3.9 - Work to build Committee unity, consensus and solidarity.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3.10 - Evaluate the Committee</w:t>
      </w:r>
      <w:r>
        <w:rPr>
          <w:rFonts w:ascii="Trebuchet MS" w:hAnsi="Trebuchet MS" w:hint="default"/>
          <w:color w:val="797979"/>
          <w:sz w:val="32"/>
          <w:szCs w:val="32"/>
          <w:u w:color="797979"/>
          <w:rtl w:val="0"/>
          <w:lang w:val="en-US"/>
        </w:rPr>
        <w:t>’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 effectiveness and implement improvement activities to the forum.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3.11 - Assist with the integration and mentoring of new Committee Members.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3.12 - Provide leadership to the Committee by demonstrating integrity and ethical leadership, by creating a climate of trust, cantor and openness and by championing proper and professional governance.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4.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Deputy Chairman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4.1 -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Dep Chair will be elected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4.2 - 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Will be qualified and experienced to serve on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Committee as per the requirements established in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p>
      <w:pPr>
        <w:pStyle w:val="Default"/>
        <w:rPr>
          <w:rFonts w:ascii="Trebuchet MS" w:cs="Trebuchet MS" w:hAnsi="Trebuchet MS" w:eastAsia="Trebuchet MS"/>
          <w:color w:val="797979"/>
          <w:sz w:val="32"/>
          <w:szCs w:val="32"/>
          <w:u w:color="797979"/>
        </w:rPr>
      </w:pPr>
    </w:p>
    <w:p>
      <w:pPr>
        <w:pStyle w:val="Default"/>
        <w:rPr>
          <w:color w:val="797979"/>
          <w:u w:color="797979"/>
        </w:rPr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5.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 xml:space="preserve"> </w:t>
      </w:r>
      <w:r>
        <w:rPr>
          <w:rFonts w:ascii="Trebuchet MS" w:hAnsi="Trebuchet MS"/>
          <w:b w:val="1"/>
          <w:bCs w:val="1"/>
          <w:color w:val="797979"/>
          <w:sz w:val="32"/>
          <w:szCs w:val="32"/>
          <w:u w:color="797979"/>
          <w:rtl w:val="0"/>
          <w:lang w:val="en-US"/>
        </w:rPr>
        <w:t>Resignation</w:t>
      </w:r>
    </w:p>
    <w:p>
      <w:pPr>
        <w:pStyle w:val="Default"/>
      </w:pP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5.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1 - The Dep Chair is to provide the Committee with 21 days notice, in writing, of the intent to resign his/her position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</w:rPr>
        <w:t>.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 xml:space="preserve">  Wherever practicable the outgoing Dep Chair is to assist with the facilitation of the nomination of a new Dep Chair as per the D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O</w:t>
      </w:r>
      <w:r>
        <w:rPr>
          <w:rFonts w:ascii="Trebuchet MS" w:hAnsi="Trebuchet MS"/>
          <w:color w:val="797979"/>
          <w:sz w:val="32"/>
          <w:szCs w:val="32"/>
          <w:u w:color="797979"/>
          <w:rtl w:val="0"/>
          <w:lang w:val="en-US"/>
        </w:rPr>
        <w:t>SC Constitution.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127000</wp:posOffset>
          </wp:positionH>
          <wp:positionV relativeFrom="page">
            <wp:posOffset>185868</wp:posOffset>
          </wp:positionV>
          <wp:extent cx="894064" cy="106844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ack Badge Logo.pdf"/>
                  <pic:cNvPicPr>
                    <a:picLocks noChangeAspect="1"/>
                  </pic:cNvPicPr>
                </pic:nvPicPr>
                <pic:blipFill>
                  <a:blip r:embed="rId1">
                    <a:alphaModFix amt="59022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064" cy="1068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